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58B" w:rsidRDefault="000E558B" w:rsidP="000E558B">
      <w:pPr>
        <w:pStyle w:val="InsideAddress"/>
        <w:jc w:val="center"/>
        <w:rPr>
          <w:rFonts w:ascii="Arial" w:hAnsi="Arial"/>
          <w:b/>
          <w:bCs/>
          <w:sz w:val="22"/>
          <w:u w:val="single"/>
        </w:rPr>
      </w:pPr>
    </w:p>
    <w:p w:rsidR="000E558B" w:rsidRDefault="000E558B" w:rsidP="000E558B">
      <w:pPr>
        <w:pStyle w:val="InsideAddress"/>
        <w:jc w:val="center"/>
        <w:rPr>
          <w:rFonts w:ascii="Arial" w:hAnsi="Arial"/>
          <w:b/>
          <w:bCs/>
          <w:sz w:val="22"/>
          <w:u w:val="single"/>
        </w:rPr>
      </w:pPr>
      <w:r>
        <w:rPr>
          <w:rFonts w:ascii="Arial" w:hAnsi="Arial"/>
          <w:b/>
          <w:bCs/>
          <w:sz w:val="22"/>
          <w:u w:val="single"/>
        </w:rPr>
        <w:t>Project Insurance Information</w:t>
      </w:r>
    </w:p>
    <w:p w:rsidR="000E558B" w:rsidRDefault="000E558B" w:rsidP="000E558B">
      <w:pPr>
        <w:pStyle w:val="InsideAddress"/>
        <w:rPr>
          <w:rFonts w:ascii="Arial" w:hAnsi="Arial"/>
          <w:sz w:val="22"/>
          <w:u w:val="single"/>
        </w:rPr>
      </w:pPr>
    </w:p>
    <w:p w:rsidR="000E558B" w:rsidRDefault="000E558B" w:rsidP="000E558B">
      <w:pPr>
        <w:pStyle w:val="BodyText"/>
        <w:spacing w:line="240" w:lineRule="auto"/>
        <w:rPr>
          <w:sz w:val="22"/>
        </w:rPr>
      </w:pPr>
      <w:r>
        <w:rPr>
          <w:b/>
          <w:bCs/>
          <w:sz w:val="22"/>
        </w:rPr>
        <w:t>General Liability and Worker’s Compensation</w:t>
      </w:r>
      <w:r>
        <w:rPr>
          <w:sz w:val="22"/>
        </w:rPr>
        <w:t>:</w:t>
      </w:r>
    </w:p>
    <w:p w:rsidR="000E558B" w:rsidRDefault="000E558B" w:rsidP="000E558B">
      <w:pPr>
        <w:pStyle w:val="BodyText"/>
        <w:numPr>
          <w:ilvl w:val="0"/>
          <w:numId w:val="1"/>
        </w:numPr>
        <w:spacing w:line="240" w:lineRule="auto"/>
        <w:rPr>
          <w:sz w:val="22"/>
        </w:rPr>
      </w:pPr>
      <w:r>
        <w:rPr>
          <w:sz w:val="22"/>
        </w:rPr>
        <w:t xml:space="preserve">Liability Insurance must be </w:t>
      </w:r>
      <w:r>
        <w:rPr>
          <w:sz w:val="22"/>
          <w:u w:val="single"/>
        </w:rPr>
        <w:t>Occurrence</w:t>
      </w:r>
      <w:r>
        <w:rPr>
          <w:sz w:val="22"/>
        </w:rPr>
        <w:t xml:space="preserve"> type. Certificates indicating “Claims Made” and/or “Modified Occurrence” will </w:t>
      </w:r>
      <w:r>
        <w:rPr>
          <w:sz w:val="22"/>
          <w:u w:val="single"/>
        </w:rPr>
        <w:t>not</w:t>
      </w:r>
      <w:r>
        <w:rPr>
          <w:sz w:val="22"/>
        </w:rPr>
        <w:t xml:space="preserve"> be accepted.</w:t>
      </w:r>
    </w:p>
    <w:p w:rsidR="000E558B" w:rsidRDefault="000E558B" w:rsidP="000E558B">
      <w:pPr>
        <w:pStyle w:val="BodyText"/>
        <w:numPr>
          <w:ilvl w:val="0"/>
          <w:numId w:val="1"/>
        </w:numPr>
        <w:spacing w:line="240" w:lineRule="auto"/>
        <w:rPr>
          <w:sz w:val="22"/>
        </w:rPr>
      </w:pPr>
      <w:r>
        <w:rPr>
          <w:sz w:val="22"/>
        </w:rPr>
        <w:t xml:space="preserve">Comprehensive General Liability must include Premises/Operations, Products/Completed Operations, Blanket Contractual, Personal Injury, Broad Form PD, Explosion, Collapse and Underground Damage coverage. This General Liability policy must be for a minimum of two million dollars ($2,000,000) </w:t>
      </w:r>
      <w:r>
        <w:rPr>
          <w:sz w:val="22"/>
          <w:u w:val="single"/>
        </w:rPr>
        <w:t>per listed coverage item.</w:t>
      </w:r>
      <w:r>
        <w:rPr>
          <w:sz w:val="22"/>
        </w:rPr>
        <w:t xml:space="preserve"> Certificates indicating less than $2,000,000 coverage per item will not be accepted. It must cover a minimum of all operations other than Auto and Worker’s Compensation and must carry minimum rating of “A plus VII” or better.</w:t>
      </w:r>
    </w:p>
    <w:p w:rsidR="000E558B" w:rsidRDefault="000E558B" w:rsidP="000E558B">
      <w:pPr>
        <w:pStyle w:val="BodyText"/>
        <w:numPr>
          <w:ilvl w:val="0"/>
          <w:numId w:val="1"/>
        </w:numPr>
        <w:spacing w:line="240" w:lineRule="auto"/>
        <w:rPr>
          <w:sz w:val="22"/>
        </w:rPr>
      </w:pPr>
      <w:r>
        <w:rPr>
          <w:sz w:val="22"/>
        </w:rPr>
        <w:t>Auto insurance policy shall be for “any autos” of the insured and the insured‘s liability arising from the use of his employee’s vehicles for a minimum of $2,000,000.</w:t>
      </w:r>
    </w:p>
    <w:p w:rsidR="000E558B" w:rsidRDefault="000E558B" w:rsidP="000E558B">
      <w:pPr>
        <w:pStyle w:val="BodyText"/>
        <w:numPr>
          <w:ilvl w:val="0"/>
          <w:numId w:val="1"/>
        </w:numPr>
        <w:spacing w:line="240" w:lineRule="auto"/>
        <w:rPr>
          <w:sz w:val="22"/>
        </w:rPr>
      </w:pPr>
      <w:r>
        <w:rPr>
          <w:sz w:val="22"/>
        </w:rPr>
        <w:t>The Landlord prefers the Umbrella Form of Excess Liability coverage for a minimum of $2,000,000.</w:t>
      </w:r>
    </w:p>
    <w:p w:rsidR="000E558B" w:rsidRDefault="000E558B" w:rsidP="000E558B">
      <w:pPr>
        <w:pStyle w:val="BodyText"/>
        <w:numPr>
          <w:ilvl w:val="0"/>
          <w:numId w:val="1"/>
        </w:numPr>
        <w:spacing w:line="240" w:lineRule="auto"/>
        <w:rPr>
          <w:sz w:val="22"/>
        </w:rPr>
      </w:pPr>
      <w:r>
        <w:rPr>
          <w:sz w:val="22"/>
        </w:rPr>
        <w:t xml:space="preserve">Worker’s Compensation policies as required in the State of Alaska. Such polices shall also cover Employers’ Liability. The Employers’ Liability policy shall show a minimum statutory limit of $1,000,000. </w:t>
      </w:r>
      <w:proofErr w:type="gramStart"/>
      <w:r>
        <w:rPr>
          <w:sz w:val="22"/>
        </w:rPr>
        <w:t>per</w:t>
      </w:r>
      <w:proofErr w:type="gramEnd"/>
      <w:r>
        <w:rPr>
          <w:sz w:val="22"/>
        </w:rPr>
        <w:t xml:space="preserve"> accident or disease.</w:t>
      </w:r>
    </w:p>
    <w:p w:rsidR="000E558B" w:rsidRDefault="000E558B" w:rsidP="000E558B">
      <w:pPr>
        <w:pStyle w:val="BodyText"/>
        <w:numPr>
          <w:ilvl w:val="0"/>
          <w:numId w:val="1"/>
        </w:numPr>
        <w:spacing w:line="240" w:lineRule="auto"/>
        <w:rPr>
          <w:sz w:val="22"/>
        </w:rPr>
      </w:pPr>
      <w:r>
        <w:rPr>
          <w:sz w:val="22"/>
        </w:rPr>
        <w:t>If the contractor’s Workmen’s Compensation policy is not furnished by the same insurance provider as the General Liability policy and certificate, an additional certificate and endorsement must be submitted from the Worker’s Compensation provider for this portion of the insurance. It must name the Landlord as the Certificate Holder.</w:t>
      </w:r>
    </w:p>
    <w:p w:rsidR="000E558B" w:rsidRDefault="000E558B" w:rsidP="000E558B">
      <w:pPr>
        <w:pStyle w:val="BodyText"/>
        <w:spacing w:line="240" w:lineRule="auto"/>
        <w:ind w:left="720"/>
        <w:rPr>
          <w:sz w:val="22"/>
        </w:rPr>
      </w:pPr>
      <w:r>
        <w:rPr>
          <w:sz w:val="22"/>
        </w:rPr>
        <w:t>The insurance as is afforded by this policy, for the benefit of the additional insured (Landlord as is noted below) shall be primary insurance and any insurance maintained by the additional insured shall be excess and non-contributory.</w:t>
      </w:r>
    </w:p>
    <w:p w:rsidR="000E558B" w:rsidRDefault="000E558B" w:rsidP="000E558B">
      <w:pPr>
        <w:pStyle w:val="BodyText"/>
        <w:numPr>
          <w:ilvl w:val="0"/>
          <w:numId w:val="1"/>
        </w:numPr>
        <w:spacing w:line="240" w:lineRule="auto"/>
        <w:rPr>
          <w:sz w:val="22"/>
        </w:rPr>
      </w:pPr>
      <w:r>
        <w:rPr>
          <w:sz w:val="22"/>
        </w:rPr>
        <w:t>In the case of Aircraft Liability or Crane Lifting Liability, etc., specialized coverage for a minimum of three million dollars ($3,000,000.) must be provided to the Landlord. Contact the Landlord for the limits and the coverage required for any unusual construction activities.</w:t>
      </w:r>
    </w:p>
    <w:p w:rsidR="000E558B" w:rsidRDefault="000E558B" w:rsidP="000E558B">
      <w:pPr>
        <w:pStyle w:val="BodyText"/>
        <w:numPr>
          <w:ilvl w:val="0"/>
          <w:numId w:val="1"/>
        </w:numPr>
        <w:spacing w:line="240" w:lineRule="auto"/>
        <w:rPr>
          <w:sz w:val="22"/>
        </w:rPr>
      </w:pPr>
      <w:r>
        <w:rPr>
          <w:sz w:val="22"/>
        </w:rPr>
        <w:t>In all instances other than Worker’s Compensation, the Landlord must be named as “Additionally Insured” and “Certificate Holder”. Based on the jobsite the Additional Insured should read as follows:</w:t>
      </w:r>
    </w:p>
    <w:p w:rsidR="000E558B" w:rsidRDefault="000E558B" w:rsidP="000E558B">
      <w:pPr>
        <w:pStyle w:val="AIAAgreementBodyText"/>
        <w:rPr>
          <w:rFonts w:ascii="Arial" w:hAnsi="Arial" w:cs="Arial"/>
          <w:sz w:val="22"/>
          <w:szCs w:val="22"/>
        </w:rPr>
      </w:pPr>
      <w:r>
        <w:tab/>
      </w:r>
      <w:r>
        <w:tab/>
      </w:r>
      <w:r w:rsidRPr="007903C2">
        <w:rPr>
          <w:rFonts w:ascii="Arial" w:hAnsi="Arial" w:cs="Arial"/>
          <w:sz w:val="22"/>
          <w:szCs w:val="22"/>
        </w:rPr>
        <w:t>KE Bentley One LLC and KGC Bentley Two LLC</w:t>
      </w:r>
    </w:p>
    <w:p w:rsidR="007903C2" w:rsidRPr="00F005B5" w:rsidRDefault="007903C2" w:rsidP="00F005B5">
      <w:pPr>
        <w:pStyle w:val="AIAAgreementBodyText"/>
        <w:rPr>
          <w:rFonts w:ascii="Arial" w:hAnsi="Arial" w:cs="Arial"/>
          <w:sz w:val="22"/>
        </w:rPr>
      </w:pPr>
      <w:r>
        <w:rPr>
          <w:rFonts w:ascii="Arial" w:hAnsi="Arial" w:cs="Arial"/>
          <w:sz w:val="22"/>
          <w:szCs w:val="22"/>
        </w:rPr>
        <w:tab/>
      </w:r>
      <w:r>
        <w:rPr>
          <w:rFonts w:ascii="Arial" w:hAnsi="Arial" w:cs="Arial"/>
          <w:sz w:val="22"/>
          <w:szCs w:val="22"/>
        </w:rPr>
        <w:tab/>
      </w:r>
      <w:proofErr w:type="gramStart"/>
      <w:r w:rsidR="000E558B" w:rsidRPr="00F005B5">
        <w:rPr>
          <w:rFonts w:ascii="Arial" w:hAnsi="Arial" w:cs="Arial"/>
          <w:sz w:val="22"/>
        </w:rPr>
        <w:t xml:space="preserve">The </w:t>
      </w:r>
      <w:proofErr w:type="spellStart"/>
      <w:r w:rsidR="000E558B" w:rsidRPr="00F005B5">
        <w:rPr>
          <w:rFonts w:ascii="Arial" w:hAnsi="Arial" w:cs="Arial"/>
          <w:sz w:val="22"/>
        </w:rPr>
        <w:t>Krausz</w:t>
      </w:r>
      <w:proofErr w:type="spellEnd"/>
      <w:r w:rsidR="000E558B" w:rsidRPr="00F005B5">
        <w:rPr>
          <w:rFonts w:ascii="Arial" w:hAnsi="Arial" w:cs="Arial"/>
          <w:sz w:val="22"/>
        </w:rPr>
        <w:t xml:space="preserve"> Companies, Inc.</w:t>
      </w:r>
      <w:proofErr w:type="gramEnd"/>
    </w:p>
    <w:sectPr w:rsidR="007903C2" w:rsidRPr="00F005B5" w:rsidSect="00E754C0">
      <w:headerReference w:type="even" r:id="rId7"/>
      <w:headerReference w:type="default" r:id="rId8"/>
      <w:footerReference w:type="even" r:id="rId9"/>
      <w:footerReference w:type="default" r:id="rId10"/>
      <w:headerReference w:type="first" r:id="rId11"/>
      <w:footerReference w:type="first" r:id="rId12"/>
      <w:pgSz w:w="12240" w:h="15840" w:code="1"/>
      <w:pgMar w:top="1685" w:right="1800" w:bottom="1440" w:left="1800" w:header="965" w:footer="9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4C0" w:rsidRDefault="00E754C0" w:rsidP="00E754C0">
      <w:r>
        <w:separator/>
      </w:r>
    </w:p>
  </w:endnote>
  <w:endnote w:type="continuationSeparator" w:id="0">
    <w:p w:rsidR="00E754C0" w:rsidRDefault="00E754C0" w:rsidP="00E754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B0" w:rsidRDefault="008B2258">
    <w:pPr>
      <w:pStyle w:val="Footer"/>
      <w:framePr w:wrap="around" w:vAnchor="text" w:hAnchor="margin" w:xAlign="center" w:y="1"/>
      <w:rPr>
        <w:rStyle w:val="PageNumber"/>
      </w:rPr>
    </w:pPr>
    <w:r>
      <w:rPr>
        <w:rStyle w:val="PageNumber"/>
      </w:rPr>
      <w:fldChar w:fldCharType="begin"/>
    </w:r>
    <w:r w:rsidR="007903C2">
      <w:rPr>
        <w:rStyle w:val="PageNumber"/>
      </w:rPr>
      <w:instrText xml:space="preserve">PAGE  </w:instrText>
    </w:r>
    <w:r>
      <w:rPr>
        <w:rStyle w:val="PageNumber"/>
      </w:rPr>
      <w:fldChar w:fldCharType="separate"/>
    </w:r>
    <w:r w:rsidR="007903C2">
      <w:rPr>
        <w:rStyle w:val="PageNumber"/>
      </w:rPr>
      <w:t>0</w:t>
    </w:r>
    <w:r>
      <w:rPr>
        <w:rStyle w:val="PageNumber"/>
      </w:rPr>
      <w:fldChar w:fldCharType="end"/>
    </w:r>
  </w:p>
  <w:p w:rsidR="000062B0" w:rsidRDefault="00F005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B0" w:rsidRDefault="00F005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B0" w:rsidRDefault="00F005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4C0" w:rsidRDefault="00E754C0" w:rsidP="00E754C0">
      <w:r>
        <w:separator/>
      </w:r>
    </w:p>
  </w:footnote>
  <w:footnote w:type="continuationSeparator" w:id="0">
    <w:p w:rsidR="00E754C0" w:rsidRDefault="00E754C0" w:rsidP="00E754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B0" w:rsidRDefault="00F005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B0" w:rsidRDefault="007903C2">
    <w:pPr>
      <w:pStyle w:val="Header"/>
    </w:pP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B0" w:rsidRDefault="00F005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032C"/>
    <w:multiLevelType w:val="hybridMultilevel"/>
    <w:tmpl w:val="C49E78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558B"/>
    <w:rsid w:val="000E558B"/>
    <w:rsid w:val="006D20DB"/>
    <w:rsid w:val="007903C2"/>
    <w:rsid w:val="008B2258"/>
    <w:rsid w:val="009A3141"/>
    <w:rsid w:val="00CB08C5"/>
    <w:rsid w:val="00E754C0"/>
    <w:rsid w:val="00EA4752"/>
    <w:rsid w:val="00F005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58B"/>
    <w:pPr>
      <w:spacing w:after="0" w:line="240" w:lineRule="auto"/>
    </w:pPr>
    <w:rPr>
      <w:rFonts w:ascii="Maiandra GD" w:eastAsia="Times New Roman" w:hAnsi="Maiandra G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558B"/>
    <w:pPr>
      <w:spacing w:after="220" w:line="180" w:lineRule="atLeast"/>
      <w:jc w:val="both"/>
    </w:pPr>
    <w:rPr>
      <w:rFonts w:ascii="Arial" w:hAnsi="Arial"/>
      <w:spacing w:val="-5"/>
      <w:sz w:val="20"/>
    </w:rPr>
  </w:style>
  <w:style w:type="character" w:customStyle="1" w:styleId="BodyTextChar">
    <w:name w:val="Body Text Char"/>
    <w:basedOn w:val="DefaultParagraphFont"/>
    <w:link w:val="BodyText"/>
    <w:rsid w:val="000E558B"/>
    <w:rPr>
      <w:rFonts w:ascii="Arial" w:eastAsia="Times New Roman" w:hAnsi="Arial" w:cs="Times New Roman"/>
      <w:spacing w:val="-5"/>
      <w:sz w:val="20"/>
      <w:szCs w:val="20"/>
    </w:rPr>
  </w:style>
  <w:style w:type="paragraph" w:styleId="Footer">
    <w:name w:val="footer"/>
    <w:basedOn w:val="Normal"/>
    <w:link w:val="FooterChar"/>
    <w:rsid w:val="000E558B"/>
    <w:pPr>
      <w:keepLines/>
      <w:tabs>
        <w:tab w:val="center" w:pos="4320"/>
        <w:tab w:val="right" w:pos="8640"/>
      </w:tabs>
      <w:spacing w:before="600" w:line="180" w:lineRule="atLeast"/>
      <w:jc w:val="both"/>
    </w:pPr>
    <w:rPr>
      <w:rFonts w:ascii="Arial" w:hAnsi="Arial"/>
      <w:spacing w:val="-5"/>
      <w:sz w:val="18"/>
    </w:rPr>
  </w:style>
  <w:style w:type="character" w:customStyle="1" w:styleId="FooterChar">
    <w:name w:val="Footer Char"/>
    <w:basedOn w:val="DefaultParagraphFont"/>
    <w:link w:val="Footer"/>
    <w:rsid w:val="000E558B"/>
    <w:rPr>
      <w:rFonts w:ascii="Arial" w:eastAsia="Times New Roman" w:hAnsi="Arial" w:cs="Times New Roman"/>
      <w:spacing w:val="-5"/>
      <w:sz w:val="18"/>
      <w:szCs w:val="20"/>
    </w:rPr>
  </w:style>
  <w:style w:type="paragraph" w:styleId="Header">
    <w:name w:val="header"/>
    <w:basedOn w:val="Normal"/>
    <w:link w:val="HeaderChar"/>
    <w:rsid w:val="000E558B"/>
    <w:pPr>
      <w:keepLines/>
      <w:tabs>
        <w:tab w:val="center" w:pos="4320"/>
        <w:tab w:val="right" w:pos="8640"/>
      </w:tabs>
      <w:spacing w:after="600" w:line="180" w:lineRule="atLeast"/>
      <w:jc w:val="both"/>
    </w:pPr>
    <w:rPr>
      <w:rFonts w:ascii="Arial" w:hAnsi="Arial"/>
      <w:spacing w:val="-5"/>
      <w:sz w:val="20"/>
    </w:rPr>
  </w:style>
  <w:style w:type="character" w:customStyle="1" w:styleId="HeaderChar">
    <w:name w:val="Header Char"/>
    <w:basedOn w:val="DefaultParagraphFont"/>
    <w:link w:val="Header"/>
    <w:rsid w:val="000E558B"/>
    <w:rPr>
      <w:rFonts w:ascii="Arial" w:eastAsia="Times New Roman" w:hAnsi="Arial" w:cs="Times New Roman"/>
      <w:spacing w:val="-5"/>
      <w:sz w:val="20"/>
      <w:szCs w:val="20"/>
    </w:rPr>
  </w:style>
  <w:style w:type="character" w:styleId="PageNumber">
    <w:name w:val="page number"/>
    <w:rsid w:val="000E558B"/>
    <w:rPr>
      <w:sz w:val="18"/>
    </w:rPr>
  </w:style>
  <w:style w:type="paragraph" w:customStyle="1" w:styleId="InsideAddress">
    <w:name w:val="Inside Address"/>
    <w:basedOn w:val="Normal"/>
    <w:rsid w:val="000E558B"/>
  </w:style>
  <w:style w:type="paragraph" w:customStyle="1" w:styleId="AIAAgreementBodyText">
    <w:name w:val="AIA Agreement Body Text"/>
    <w:rsid w:val="000E558B"/>
    <w:pPr>
      <w:tabs>
        <w:tab w:val="left" w:pos="720"/>
      </w:tabs>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Knight</dc:creator>
  <cp:keywords/>
  <dc:description/>
  <cp:lastModifiedBy>Paul Knight</cp:lastModifiedBy>
  <cp:revision>2</cp:revision>
  <dcterms:created xsi:type="dcterms:W3CDTF">2009-07-29T02:03:00Z</dcterms:created>
  <dcterms:modified xsi:type="dcterms:W3CDTF">2009-07-29T02:03:00Z</dcterms:modified>
</cp:coreProperties>
</file>